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5C9F" w14:textId="77777777" w:rsidR="005538EB" w:rsidRPr="005538EB" w:rsidRDefault="005538EB" w:rsidP="005538EB">
      <w:pPr>
        <w:shd w:val="clear" w:color="auto" w:fill="FBFBF9"/>
        <w:spacing w:after="100" w:afterAutospacing="1" w:line="288" w:lineRule="atLeast"/>
        <w:outlineLvl w:val="0"/>
        <w:rPr>
          <w:rFonts w:ascii="Open Sans" w:eastAsia="Times New Roman" w:hAnsi="Open Sans" w:cs="Open Sans"/>
          <w:color w:val="333333"/>
          <w:kern w:val="36"/>
          <w:sz w:val="48"/>
          <w:szCs w:val="48"/>
          <w:lang w:eastAsia="en-GB"/>
        </w:rPr>
      </w:pPr>
      <w:r w:rsidRPr="005538EB">
        <w:rPr>
          <w:rFonts w:ascii="Open Sans" w:eastAsia="Times New Roman" w:hAnsi="Open Sans" w:cs="Open Sans"/>
          <w:color w:val="333333"/>
          <w:kern w:val="36"/>
          <w:sz w:val="48"/>
          <w:szCs w:val="48"/>
          <w:lang w:eastAsia="en-GB"/>
        </w:rPr>
        <w:t>Good Practice Guidelines for GP Electronic Patient Records</w:t>
      </w:r>
    </w:p>
    <w:p w14:paraId="509B3134" w14:textId="77777777" w:rsidR="005538EB" w:rsidRPr="005538EB" w:rsidRDefault="005538EB" w:rsidP="005538EB">
      <w:pPr>
        <w:shd w:val="clear" w:color="auto" w:fill="FBFBF9"/>
        <w:spacing w:before="150" w:after="150" w:line="360" w:lineRule="atLeast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5538EB"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  <w:t>The links below give useful guidance on all aspects of GP electronic records, produced by the DOH, in conjunction with RCGP and BMA:</w:t>
      </w:r>
    </w:p>
    <w:p w14:paraId="6CBB71E1" w14:textId="77777777" w:rsidR="005538EB" w:rsidRPr="005538EB" w:rsidRDefault="005538EB" w:rsidP="005538EB">
      <w:pPr>
        <w:shd w:val="clear" w:color="auto" w:fill="FBFBF9"/>
        <w:spacing w:before="150" w:after="150" w:line="360" w:lineRule="atLeast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hyperlink r:id="rId4" w:tooltip="Good Practice Guidelines for GP Electronic Patient Records, Version 4, 2011 (Full Version)" w:history="1">
        <w:r w:rsidRPr="005538EB">
          <w:rPr>
            <w:rFonts w:ascii="Open Sans" w:eastAsia="Times New Roman" w:hAnsi="Open Sans" w:cs="Open Sans"/>
            <w:color w:val="447FC2"/>
            <w:sz w:val="21"/>
            <w:szCs w:val="21"/>
            <w:u w:val="single"/>
            <w:lang w:eastAsia="en-GB"/>
          </w:rPr>
          <w:t>Good Practice Guidelines for GP Electronic Patient Records, Version 4, 2011 (Full Version)</w:t>
        </w:r>
      </w:hyperlink>
    </w:p>
    <w:p w14:paraId="6E0CA458" w14:textId="77777777" w:rsidR="005538EB" w:rsidRPr="005538EB" w:rsidRDefault="005538EB" w:rsidP="005538EB">
      <w:pPr>
        <w:shd w:val="clear" w:color="auto" w:fill="FBFBF9"/>
        <w:spacing w:before="150" w:after="150" w:line="360" w:lineRule="atLeast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hyperlink r:id="rId5" w:tooltip="Good Practice Guidelines for GP Electronic Records, Version 4, 2011 - Quick Reference Version" w:history="1">
        <w:r w:rsidRPr="005538EB">
          <w:rPr>
            <w:rFonts w:ascii="Open Sans" w:eastAsia="Times New Roman" w:hAnsi="Open Sans" w:cs="Open Sans"/>
            <w:color w:val="5795E9"/>
            <w:sz w:val="21"/>
            <w:szCs w:val="21"/>
            <w:u w:val="single"/>
            <w:lang w:eastAsia="en-GB"/>
          </w:rPr>
          <w:t>Good Practice Guidelines for GP Electronic Patient Records, Version 4, 2011 (Quick Reference Version)</w:t>
        </w:r>
      </w:hyperlink>
    </w:p>
    <w:p w14:paraId="15737ECE" w14:textId="77777777" w:rsidR="002A4EBF" w:rsidRDefault="002A4EBF"/>
    <w:sectPr w:rsidR="002A4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EB"/>
    <w:rsid w:val="002A4EBF"/>
    <w:rsid w:val="0055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C4435"/>
  <w15:chartTrackingRefBased/>
  <w15:docId w15:val="{BA6A3067-270C-4F3C-A24F-E9E92308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uk/government/uploads/system/uploads/attachment_data/file/215681/dh_125351.pdf" TargetMode="External"/><Relationship Id="rId4" Type="http://schemas.openxmlformats.org/officeDocument/2006/relationships/hyperlink" Target="https://www.gov.uk/government/uploads/system/uploads/attachment_data/file/215680/dh_12535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BANNON, Clare (NHS BARNSLEY CCG)</dc:creator>
  <cp:keywords/>
  <dc:description/>
  <cp:lastModifiedBy>BANNON, Clare (NHS BARNSLEY CCG)</cp:lastModifiedBy>
  <cp:revision>1</cp:revision>
  <dcterms:created xsi:type="dcterms:W3CDTF">2022-02-22T11:55:00Z</dcterms:created>
  <dcterms:modified xsi:type="dcterms:W3CDTF">2022-02-22T11:56:00Z</dcterms:modified>
</cp:coreProperties>
</file>